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2D70A592"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A2CAB">
        <w:rPr>
          <w:rFonts w:cs="B Mitra" w:hint="cs"/>
          <w:b/>
          <w:bCs/>
          <w:sz w:val="32"/>
          <w:szCs w:val="32"/>
          <w:rtl/>
          <w:lang w:bidi="fa-IR"/>
        </w:rPr>
        <w:t>5</w:t>
      </w:r>
      <w:r w:rsidR="00851175">
        <w:rPr>
          <w:rFonts w:cs="B Mitra" w:hint="cs"/>
          <w:b/>
          <w:bCs/>
          <w:sz w:val="32"/>
          <w:szCs w:val="32"/>
          <w:rtl/>
          <w:lang w:bidi="fa-IR"/>
        </w:rPr>
        <w:t>9</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56C54938" w14:textId="062ABB4A" w:rsidR="00851175" w:rsidRDefault="00851175" w:rsidP="00EA2CC7">
      <w:pPr>
        <w:pStyle w:val="NormalWeb"/>
        <w:widowControl w:val="0"/>
        <w:bidi/>
        <w:spacing w:before="0" w:beforeAutospacing="0" w:after="0" w:afterAutospacing="0" w:line="257" w:lineRule="auto"/>
        <w:ind w:firstLine="284"/>
        <w:jc w:val="both"/>
        <w:rPr>
          <w:rFonts w:cs="Abz-2 (Badr)"/>
          <w:sz w:val="28"/>
          <w:szCs w:val="28"/>
          <w:rtl/>
          <w:lang w:bidi="fa-IR"/>
        </w:rPr>
      </w:pPr>
      <w:bookmarkStart w:id="1" w:name="_Hlk184376571"/>
      <w:bookmarkEnd w:id="0"/>
      <w:r>
        <w:rPr>
          <w:rFonts w:cs="Abz-2 (Badr)" w:hint="cs"/>
          <w:sz w:val="28"/>
          <w:szCs w:val="28"/>
          <w:rtl/>
          <w:lang w:bidi="fa-IR"/>
        </w:rPr>
        <w:t>بحث ما در شرائطی بود که وجود آنها در حَکَم</w:t>
      </w:r>
      <w:r>
        <w:rPr>
          <w:rFonts w:cs="Abz-2 (Badr)"/>
          <w:sz w:val="28"/>
          <w:szCs w:val="28"/>
          <w:rtl/>
          <w:lang w:bidi="fa-IR"/>
        </w:rPr>
        <w:softHyphen/>
      </w:r>
      <w:r>
        <w:rPr>
          <w:rFonts w:cs="Abz-2 (Badr)" w:hint="cs"/>
          <w:sz w:val="28"/>
          <w:szCs w:val="28"/>
          <w:rtl/>
          <w:lang w:bidi="fa-IR"/>
        </w:rPr>
        <w:t>ها معتبر است.</w:t>
      </w:r>
    </w:p>
    <w:p w14:paraId="2360E628" w14:textId="3C85095F" w:rsidR="00851175" w:rsidRDefault="00851175" w:rsidP="00EA2CC7">
      <w:pPr>
        <w:pStyle w:val="NormalWeb"/>
        <w:widowControl w:val="0"/>
        <w:bidi/>
        <w:spacing w:before="0" w:beforeAutospacing="0" w:after="0" w:afterAutospacing="0" w:line="257" w:lineRule="auto"/>
        <w:ind w:firstLine="284"/>
        <w:jc w:val="both"/>
        <w:rPr>
          <w:rFonts w:cs="Abz-2 (Badr)"/>
          <w:sz w:val="28"/>
          <w:szCs w:val="28"/>
          <w:rtl/>
          <w:lang w:bidi="fa-IR"/>
        </w:rPr>
      </w:pPr>
      <w:r>
        <w:rPr>
          <w:rFonts w:cs="Abz-2 (Badr)" w:hint="cs"/>
          <w:sz w:val="28"/>
          <w:szCs w:val="28"/>
          <w:rtl/>
          <w:lang w:bidi="fa-IR"/>
        </w:rPr>
        <w:t>آنچه که می</w:t>
      </w:r>
      <w:r>
        <w:rPr>
          <w:rFonts w:cs="Abz-2 (Badr)"/>
          <w:sz w:val="28"/>
          <w:szCs w:val="28"/>
          <w:rtl/>
          <w:lang w:bidi="fa-IR"/>
        </w:rPr>
        <w:softHyphen/>
      </w:r>
      <w:r>
        <w:rPr>
          <w:rFonts w:cs="Abz-2 (Badr)" w:hint="cs"/>
          <w:sz w:val="28"/>
          <w:szCs w:val="28"/>
          <w:rtl/>
          <w:lang w:bidi="fa-IR"/>
        </w:rPr>
        <w:t>توان در اين مسأله به آن ملتزم شد اين است که از آنجا که قائل شديم که کسانی که مبعوث شده</w:t>
      </w:r>
      <w:r>
        <w:rPr>
          <w:rFonts w:cs="Abz-2 (Badr)"/>
          <w:sz w:val="28"/>
          <w:szCs w:val="28"/>
          <w:rtl/>
          <w:lang w:bidi="fa-IR"/>
        </w:rPr>
        <w:softHyphen/>
      </w:r>
      <w:r>
        <w:rPr>
          <w:rFonts w:cs="Abz-2 (Badr)" w:hint="cs"/>
          <w:sz w:val="28"/>
          <w:szCs w:val="28"/>
          <w:rtl/>
          <w:lang w:bidi="fa-IR"/>
        </w:rPr>
        <w:t>اند، پس از استيذان از زوجين قاضی تحکيم هستند، بنابر اين شرائطی که در قاضی تحکيم وجود دارد، بايد در آنها نيز موجود باشد.</w:t>
      </w:r>
    </w:p>
    <w:p w14:paraId="576A5C07" w14:textId="77777777" w:rsidR="00851175" w:rsidRPr="00023286" w:rsidRDefault="00851175" w:rsidP="00EA2CC7">
      <w:pPr>
        <w:pStyle w:val="NormalWeb"/>
        <w:widowControl w:val="0"/>
        <w:bidi/>
        <w:spacing w:before="0" w:beforeAutospacing="0" w:after="0" w:afterAutospacing="0" w:line="257" w:lineRule="auto"/>
        <w:ind w:firstLine="284"/>
        <w:jc w:val="both"/>
        <w:rPr>
          <w:rFonts w:cs="Abz-2 (Badr)"/>
          <w:color w:val="0070C0"/>
          <w:sz w:val="28"/>
          <w:szCs w:val="28"/>
          <w:rtl/>
          <w:lang w:bidi="fa-IR"/>
        </w:rPr>
      </w:pPr>
      <w:r>
        <w:rPr>
          <w:rFonts w:cs="Abz-2 (Badr)" w:hint="cs"/>
          <w:sz w:val="28"/>
          <w:szCs w:val="28"/>
          <w:rtl/>
          <w:lang w:bidi="fa-IR"/>
        </w:rPr>
        <w:t>مرحوم والد در اين خصوص و بعد از ذکر اقوال فقهاء در مسأله می</w:t>
      </w:r>
      <w:r>
        <w:rPr>
          <w:rFonts w:cs="Abz-2 (Badr)"/>
          <w:sz w:val="28"/>
          <w:szCs w:val="28"/>
          <w:rtl/>
          <w:lang w:bidi="fa-IR"/>
        </w:rPr>
        <w:softHyphen/>
      </w:r>
      <w:r>
        <w:rPr>
          <w:rFonts w:cs="Abz-2 (Badr)" w:hint="cs"/>
          <w:sz w:val="28"/>
          <w:szCs w:val="28"/>
          <w:rtl/>
          <w:lang w:bidi="fa-IR"/>
        </w:rPr>
        <w:t xml:space="preserve">فرمايد: </w:t>
      </w:r>
      <w:r w:rsidRPr="00023286">
        <w:rPr>
          <w:rFonts w:cs="Abz-2 (Badr)" w:hint="cs"/>
          <w:color w:val="0070C0"/>
          <w:sz w:val="28"/>
          <w:szCs w:val="28"/>
          <w:rtl/>
          <w:lang w:bidi="fa-IR"/>
        </w:rPr>
        <w:t>«</w:t>
      </w:r>
      <w:r w:rsidRPr="00023286">
        <w:rPr>
          <w:rFonts w:cs="Abz-2 (Badr)"/>
          <w:color w:val="0070C0"/>
          <w:sz w:val="28"/>
          <w:szCs w:val="28"/>
          <w:rtl/>
          <w:lang w:bidi="ar"/>
        </w:rPr>
        <w:t>بعد ملاحظة الأقوال في المسألة وجدنا أنّ‌ القائلين بالاشتراط لم يقيموا دليلاً خاصّاً عليه؛ فإذن المهمّ‌ في المسألة أن يكون الحَكَم قادراً صالحاً للتحكيم وإقامة العدل</w:t>
      </w:r>
      <w:r>
        <w:rPr>
          <w:rFonts w:cs="Abz-2 (Badr)" w:hint="cs"/>
          <w:color w:val="0070C0"/>
          <w:sz w:val="28"/>
          <w:szCs w:val="28"/>
          <w:rtl/>
          <w:lang w:bidi="ar"/>
        </w:rPr>
        <w:t>،</w:t>
      </w:r>
      <w:r w:rsidRPr="00023286">
        <w:rPr>
          <w:rFonts w:cs="Abz-2 (Badr)"/>
          <w:color w:val="0070C0"/>
          <w:sz w:val="28"/>
          <w:szCs w:val="28"/>
          <w:rtl/>
          <w:lang w:bidi="ar"/>
        </w:rPr>
        <w:t xml:space="preserve"> بمعنى أن يكون واجداً للصفات التي يحتاج فصل النزاع إليها</w:t>
      </w:r>
      <w:r>
        <w:rPr>
          <w:rFonts w:cs="Abz-2 (Badr)" w:hint="cs"/>
          <w:color w:val="0070C0"/>
          <w:sz w:val="28"/>
          <w:szCs w:val="28"/>
          <w:rtl/>
          <w:lang w:bidi="ar"/>
        </w:rPr>
        <w:t>،</w:t>
      </w:r>
      <w:r w:rsidRPr="00023286">
        <w:rPr>
          <w:rFonts w:cs="Abz-2 (Badr)"/>
          <w:color w:val="0070C0"/>
          <w:sz w:val="28"/>
          <w:szCs w:val="28"/>
          <w:rtl/>
          <w:lang w:bidi="ar"/>
        </w:rPr>
        <w:t xml:space="preserve"> وهذا كما ترى يختلف باختلاف الدعاوي والأزمان والشرائط</w:t>
      </w:r>
      <w:r>
        <w:rPr>
          <w:rFonts w:cs="Abz-2 (Badr)" w:hint="cs"/>
          <w:color w:val="0070C0"/>
          <w:sz w:val="28"/>
          <w:szCs w:val="28"/>
          <w:rtl/>
          <w:lang w:bidi="ar"/>
        </w:rPr>
        <w:t>،</w:t>
      </w:r>
      <w:r w:rsidRPr="00023286">
        <w:rPr>
          <w:rFonts w:cs="Abz-2 (Badr)"/>
          <w:color w:val="0070C0"/>
          <w:sz w:val="28"/>
          <w:szCs w:val="28"/>
          <w:rtl/>
          <w:lang w:bidi="ar"/>
        </w:rPr>
        <w:t xml:space="preserve"> ففي بعض الدعاوي يجب أن يكون المحكّم مجتهداً خبيراً، وفي كثير من الموارد لا يلزم ذلك</w:t>
      </w:r>
      <w:r>
        <w:rPr>
          <w:rFonts w:cs="Abz-2 (Badr)" w:hint="cs"/>
          <w:color w:val="0070C0"/>
          <w:sz w:val="28"/>
          <w:szCs w:val="28"/>
          <w:rtl/>
          <w:lang w:bidi="ar"/>
        </w:rPr>
        <w:t>،</w:t>
      </w:r>
      <w:r w:rsidRPr="00023286">
        <w:rPr>
          <w:rFonts w:cs="Abz-2 (Badr)"/>
          <w:color w:val="0070C0"/>
          <w:sz w:val="28"/>
          <w:szCs w:val="28"/>
          <w:rtl/>
          <w:lang w:bidi="ar"/>
        </w:rPr>
        <w:t xml:space="preserve"> كما أنّه لا يلزم أن يكون الحكم رجلاً في كلّ‌ الأحوال</w:t>
      </w:r>
      <w:r>
        <w:rPr>
          <w:rFonts w:cs="Abz-2 (Badr)" w:hint="cs"/>
          <w:color w:val="0070C0"/>
          <w:sz w:val="28"/>
          <w:szCs w:val="28"/>
          <w:rtl/>
          <w:lang w:bidi="ar"/>
        </w:rPr>
        <w:t>،</w:t>
      </w:r>
      <w:r w:rsidRPr="00023286">
        <w:rPr>
          <w:rFonts w:cs="Abz-2 (Badr)"/>
          <w:color w:val="0070C0"/>
          <w:sz w:val="28"/>
          <w:szCs w:val="28"/>
          <w:rtl/>
          <w:lang w:bidi="ar"/>
        </w:rPr>
        <w:t xml:space="preserve"> بل في بعضها يجب أن يكون رجلاً وفي بعضها أن يكون امرأة وفي بعضها لا هذا ولا ذاك. ويشهد لما قلناه موارد التحكيم في صدر الإسلام وبعده وأنّ‌ الناس</w:t>
      </w:r>
      <w:r>
        <w:rPr>
          <w:rFonts w:cs="Abz-2 (Badr)" w:hint="cs"/>
          <w:color w:val="0070C0"/>
          <w:sz w:val="28"/>
          <w:szCs w:val="28"/>
          <w:rtl/>
          <w:lang w:bidi="ar"/>
        </w:rPr>
        <w:t xml:space="preserve"> ـ</w:t>
      </w:r>
      <w:r w:rsidRPr="00023286">
        <w:rPr>
          <w:rFonts w:cs="Abz-2 (Badr)"/>
          <w:color w:val="0070C0"/>
          <w:sz w:val="28"/>
          <w:szCs w:val="28"/>
          <w:rtl/>
          <w:lang w:bidi="ar"/>
        </w:rPr>
        <w:t xml:space="preserve"> وفيهم المعصوم</w:t>
      </w:r>
      <w:r>
        <w:rPr>
          <w:rFonts w:cs="Abz-2 (Badr)" w:hint="cs"/>
          <w:color w:val="0070C0"/>
          <w:sz w:val="28"/>
          <w:szCs w:val="28"/>
          <w:rtl/>
          <w:lang w:bidi="ar"/>
        </w:rPr>
        <w:t>(ع) ـ</w:t>
      </w:r>
      <w:r w:rsidRPr="00023286">
        <w:rPr>
          <w:rFonts w:cs="Abz-2 (Badr)"/>
          <w:color w:val="0070C0"/>
          <w:sz w:val="28"/>
          <w:szCs w:val="28"/>
          <w:rtl/>
          <w:lang w:bidi="ar"/>
        </w:rPr>
        <w:t xml:space="preserve"> يرجعون إلى من يصلح ويعتمد عليه وكانوا يلتزمون بقوله ويعملون على مدى نظره.</w:t>
      </w:r>
      <w:r w:rsidRPr="00023286">
        <w:rPr>
          <w:rFonts w:cs="Abz-2 (Badr)" w:hint="cs"/>
          <w:color w:val="0070C0"/>
          <w:sz w:val="28"/>
          <w:szCs w:val="28"/>
          <w:rtl/>
          <w:lang w:bidi="ar"/>
        </w:rPr>
        <w:t>»</w:t>
      </w:r>
      <w:r w:rsidRPr="009F6447">
        <w:rPr>
          <w:rFonts w:cs="Abz-2 (Badr)"/>
          <w:sz w:val="28"/>
          <w:szCs w:val="28"/>
          <w:vertAlign w:val="superscript"/>
          <w:rtl/>
          <w:lang w:bidi="fa-IR"/>
        </w:rPr>
        <w:footnoteReference w:id="1"/>
      </w:r>
    </w:p>
    <w:p w14:paraId="26596E08" w14:textId="77777777" w:rsidR="00851175" w:rsidRPr="00C00DB6" w:rsidRDefault="00851175" w:rsidP="00EA2CC7">
      <w:pPr>
        <w:pStyle w:val="NormalWeb"/>
        <w:widowControl w:val="0"/>
        <w:bidi/>
        <w:spacing w:before="0" w:beforeAutospacing="0" w:after="0" w:afterAutospacing="0" w:line="257" w:lineRule="auto"/>
        <w:ind w:firstLine="284"/>
        <w:jc w:val="both"/>
        <w:rPr>
          <w:rFonts w:cs="Abz-2 (Badr)"/>
          <w:spacing w:val="-2"/>
          <w:sz w:val="28"/>
          <w:szCs w:val="28"/>
          <w:rtl/>
          <w:lang w:bidi="fa-IR"/>
        </w:rPr>
      </w:pPr>
      <w:r w:rsidRPr="00C00DB6">
        <w:rPr>
          <w:rFonts w:cs="Abz-2 (Badr)" w:hint="cs"/>
          <w:spacing w:val="-2"/>
          <w:sz w:val="28"/>
          <w:szCs w:val="28"/>
          <w:rtl/>
          <w:lang w:bidi="fa-IR"/>
        </w:rPr>
        <w:t>حق نيز در اين مسأله با ايشان است. البته اطمينان به اين که حکم از جاده صواب خارج نخواهد شد و به واسطه اغراض و اميال خود، حق را زير پا نخواهد گذاشت، در هر حکميتی لازم است ـ و کلام ابن جنيد هم سابقاً گذشت و در آن آمده بود که حکمين نبايد متهم به جانبداری از هيچ يک از زوجين باشند، اشاره به همين مطلب دارد ـ اما لازمه اين مطلب اشتراط عدالت به معنای خاص آن در حکم نيست، بلکه همين که عدالت آنان در حکم ثابت شود، کفايت می</w:t>
      </w:r>
      <w:r w:rsidRPr="00C00DB6">
        <w:rPr>
          <w:rFonts w:cs="Abz-2 (Badr)"/>
          <w:spacing w:val="-2"/>
          <w:sz w:val="28"/>
          <w:szCs w:val="28"/>
          <w:rtl/>
          <w:lang w:bidi="fa-IR"/>
        </w:rPr>
        <w:softHyphen/>
      </w:r>
      <w:r w:rsidRPr="00C00DB6">
        <w:rPr>
          <w:rFonts w:cs="Abz-2 (Badr)" w:hint="cs"/>
          <w:spacing w:val="-2"/>
          <w:sz w:val="28"/>
          <w:szCs w:val="28"/>
          <w:rtl/>
          <w:lang w:bidi="fa-IR"/>
        </w:rPr>
        <w:t>کند.</w:t>
      </w:r>
    </w:p>
    <w:p w14:paraId="4FDEFB8D" w14:textId="7F3698A9" w:rsidR="00851175" w:rsidRDefault="00851175" w:rsidP="00EA2CC7">
      <w:pPr>
        <w:pStyle w:val="NormalWeb"/>
        <w:widowControl w:val="0"/>
        <w:bidi/>
        <w:spacing w:before="0" w:beforeAutospacing="0" w:after="0" w:afterAutospacing="0" w:line="257" w:lineRule="auto"/>
        <w:ind w:firstLine="284"/>
        <w:jc w:val="both"/>
        <w:rPr>
          <w:rFonts w:cs="Abz-2 (Badr)"/>
          <w:sz w:val="28"/>
          <w:szCs w:val="28"/>
          <w:lang w:bidi="fa-IR"/>
        </w:rPr>
      </w:pPr>
      <w:r>
        <w:rPr>
          <w:rFonts w:cs="Abz-2 (Badr)" w:hint="cs"/>
          <w:sz w:val="28"/>
          <w:szCs w:val="28"/>
          <w:rtl/>
          <w:lang w:bidi="fa-IR"/>
        </w:rPr>
        <w:t>به همين جهت می</w:t>
      </w:r>
      <w:r>
        <w:rPr>
          <w:rFonts w:cs="Abz-2 (Badr)"/>
          <w:sz w:val="28"/>
          <w:szCs w:val="28"/>
          <w:rtl/>
          <w:lang w:bidi="fa-IR"/>
        </w:rPr>
        <w:softHyphen/>
      </w:r>
      <w:r>
        <w:rPr>
          <w:rFonts w:cs="Abz-2 (Badr)" w:hint="cs"/>
          <w:sz w:val="28"/>
          <w:szCs w:val="28"/>
          <w:rtl/>
          <w:lang w:bidi="fa-IR"/>
        </w:rPr>
        <w:t xml:space="preserve">توان گفت: در ما نحن فيه، لازم نيست که حکمين عادل به معنای خاص آن، مجتهد، حرّ يا مرد </w:t>
      </w:r>
      <w:r>
        <w:rPr>
          <w:rFonts w:cs="Abz-2 (Badr)" w:hint="cs"/>
          <w:sz w:val="28"/>
          <w:szCs w:val="28"/>
          <w:rtl/>
          <w:lang w:bidi="fa-IR"/>
        </w:rPr>
        <w:lastRenderedPageBreak/>
        <w:t>باشند، بلکه بايد از اشخاصی باشند که اولاً: امکان اطلاع يافتن از وضعيت زوجين را داشته باشند،</w:t>
      </w:r>
      <w:r w:rsidRPr="00C00DB6">
        <w:rPr>
          <w:rFonts w:cs="Abz-2 (Badr)" w:hint="cs"/>
          <w:sz w:val="28"/>
          <w:szCs w:val="28"/>
          <w:rtl/>
          <w:lang w:bidi="fa-IR"/>
        </w:rPr>
        <w:t xml:space="preserve"> </w:t>
      </w:r>
      <w:r>
        <w:rPr>
          <w:rFonts w:cs="Abz-2 (Badr)" w:hint="cs"/>
          <w:sz w:val="28"/>
          <w:szCs w:val="28"/>
          <w:rtl/>
          <w:lang w:bidi="fa-IR"/>
        </w:rPr>
        <w:t>و اين که در آيه شريفه اشاره به اين شده است که حکمين از اهل زوجين باشند نيز می</w:t>
      </w:r>
      <w:r>
        <w:rPr>
          <w:rFonts w:cs="Abz-2 (Badr)"/>
          <w:sz w:val="28"/>
          <w:szCs w:val="28"/>
          <w:rtl/>
          <w:lang w:bidi="fa-IR"/>
        </w:rPr>
        <w:softHyphen/>
      </w:r>
      <w:r>
        <w:rPr>
          <w:rFonts w:cs="Abz-2 (Badr)" w:hint="cs"/>
          <w:sz w:val="28"/>
          <w:szCs w:val="28"/>
          <w:rtl/>
          <w:lang w:bidi="fa-IR"/>
        </w:rPr>
        <w:t>تواند مؤيّد همين مطلب باشد، و ثانياً: اطمينان از اين وجود داشته باشد که مطابق حق و عدل حکم خواهند کرد و جانبداری از کسی نخواهند نمود.</w:t>
      </w:r>
    </w:p>
    <w:p w14:paraId="3F690A7C" w14:textId="38323CC8" w:rsidR="00EA2CC7" w:rsidRPr="00EA2CC7" w:rsidRDefault="00EA2CC7" w:rsidP="00EA2CC7">
      <w:pPr>
        <w:pStyle w:val="NormalWeb"/>
        <w:widowControl w:val="0"/>
        <w:bidi/>
        <w:spacing w:before="0" w:beforeAutospacing="0" w:after="0" w:afterAutospacing="0" w:line="257" w:lineRule="auto"/>
        <w:ind w:firstLine="284"/>
        <w:jc w:val="both"/>
        <w:rPr>
          <w:rFonts w:cs="Abz-2 (Badr)"/>
          <w:sz w:val="28"/>
          <w:szCs w:val="28"/>
          <w:rtl/>
          <w:lang w:bidi="fa-IR"/>
        </w:rPr>
      </w:pPr>
      <w:bookmarkStart w:id="2" w:name="_Hlk184545196"/>
      <w:r>
        <w:rPr>
          <w:rFonts w:cs="Abz-2 (Badr)" w:hint="cs"/>
          <w:sz w:val="28"/>
          <w:szCs w:val="28"/>
          <w:rtl/>
          <w:lang w:bidi="fa-IR"/>
        </w:rPr>
        <w:t>البته از آنجا که حَکَم ولو بعد از رضايت طرفين نزاع، بر آنان سلطه پيدا کرده و حُکمش نافذ است، بنابر قاعده نفی سلطه غير مسلمان بر مسلمان می</w:t>
      </w:r>
      <w:r>
        <w:rPr>
          <w:rFonts w:cs="Abz-2 (Badr)"/>
          <w:sz w:val="28"/>
          <w:szCs w:val="28"/>
          <w:rtl/>
          <w:lang w:bidi="fa-IR"/>
        </w:rPr>
        <w:softHyphen/>
      </w:r>
      <w:r>
        <w:rPr>
          <w:rFonts w:cs="Abz-2 (Badr)" w:hint="cs"/>
          <w:sz w:val="28"/>
          <w:szCs w:val="28"/>
          <w:rtl/>
          <w:lang w:bidi="fa-IR"/>
        </w:rPr>
        <w:t>توان ملتزم شد که اگر زوجين يا يکی از آنان مسلمان باشند، حکم نيز بايد مسلمان باشد، اما در صورتی که هر دو غير مسلمان باشند، دليلی برای لزوم مسلمان بودن حکم وجود ندارد.</w:t>
      </w:r>
    </w:p>
    <w:bookmarkEnd w:id="2"/>
    <w:p w14:paraId="3865377A" w14:textId="2D4679DE" w:rsidR="00851175" w:rsidRPr="00C00DB6" w:rsidRDefault="00851175" w:rsidP="00851175">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ar"/>
        </w:rPr>
        <w:t xml:space="preserve">اشاره </w:t>
      </w:r>
      <w:r w:rsidR="00EA2CC7">
        <w:rPr>
          <w:rFonts w:cs="Abz-2 (Badr)" w:hint="cs"/>
          <w:sz w:val="28"/>
          <w:szCs w:val="28"/>
          <w:rtl/>
          <w:lang w:bidi="ar"/>
        </w:rPr>
        <w:t>ب</w:t>
      </w:r>
      <w:r>
        <w:rPr>
          <w:rFonts w:cs="Abz-2 (Badr)" w:hint="cs"/>
          <w:sz w:val="28"/>
          <w:szCs w:val="28"/>
          <w:rtl/>
          <w:lang w:bidi="ar"/>
        </w:rPr>
        <w:t>ه اين مطلب نيز خالی از فايده نيست که شريف رضی قائل به فرق بين حَکَم و حاکم شده و فرموده است</w:t>
      </w:r>
      <w:r w:rsidRPr="00C00DB6">
        <w:rPr>
          <w:rFonts w:cs="Abz-2 (Badr)"/>
          <w:sz w:val="28"/>
          <w:szCs w:val="28"/>
          <w:rtl/>
          <w:lang w:bidi="ar"/>
        </w:rPr>
        <w:t xml:space="preserve">: </w:t>
      </w:r>
      <w:r w:rsidRPr="00C00DB6">
        <w:rPr>
          <w:rFonts w:cs="Abz-2 (Badr)"/>
          <w:color w:val="0070C0"/>
          <w:sz w:val="28"/>
          <w:szCs w:val="28"/>
          <w:rtl/>
          <w:lang w:bidi="ar"/>
        </w:rPr>
        <w:t>«لِمَ‌ لم يقل حاكماً بدل قوله حَكَماً؟ والجواب أنّه سبحانه إنّما سمّى المبعوثين من أهل الرجل والمرأة حَكَمين لنقصان تصرّفهما، ولو ملكا التصرّف من جميع الوجوه سمّاهما حاكمين</w:t>
      </w:r>
      <w:r w:rsidRPr="00C00DB6">
        <w:rPr>
          <w:rFonts w:cs="Abz-2 (Badr)" w:hint="cs"/>
          <w:color w:val="0070C0"/>
          <w:sz w:val="28"/>
          <w:szCs w:val="28"/>
          <w:rtl/>
          <w:lang w:bidi="ar"/>
        </w:rPr>
        <w:t>.</w:t>
      </w:r>
      <w:r w:rsidRPr="00C00DB6">
        <w:rPr>
          <w:rFonts w:cs="Abz-2 (Badr)"/>
          <w:color w:val="0070C0"/>
          <w:sz w:val="28"/>
          <w:szCs w:val="28"/>
          <w:rtl/>
          <w:lang w:bidi="ar"/>
        </w:rPr>
        <w:t xml:space="preserve"> ألا ترى أنّ‌ من مذهب أهل العراق أنّه ليس للحكمين التفريق إلا بوكالة</w:t>
      </w:r>
      <w:r>
        <w:rPr>
          <w:rFonts w:cs="Abz-2 (Badr)" w:hint="cs"/>
          <w:color w:val="0070C0"/>
          <w:sz w:val="28"/>
          <w:szCs w:val="28"/>
          <w:rtl/>
          <w:lang w:bidi="ar"/>
        </w:rPr>
        <w:t>؟</w:t>
      </w:r>
      <w:r w:rsidRPr="00C00DB6">
        <w:rPr>
          <w:rFonts w:cs="Abz-2 (Badr)"/>
          <w:color w:val="0070C0"/>
          <w:sz w:val="28"/>
          <w:szCs w:val="28"/>
          <w:rtl/>
          <w:lang w:bidi="ar"/>
        </w:rPr>
        <w:t xml:space="preserve"> وهو أحد قولي الشافعي</w:t>
      </w:r>
      <w:r>
        <w:rPr>
          <w:rFonts w:cs="Abz-2 (Badr)" w:hint="cs"/>
          <w:color w:val="0070C0"/>
          <w:sz w:val="28"/>
          <w:szCs w:val="28"/>
          <w:rtl/>
          <w:lang w:bidi="ar"/>
        </w:rPr>
        <w:t>،</w:t>
      </w:r>
      <w:r w:rsidRPr="00C00DB6">
        <w:rPr>
          <w:rFonts w:cs="Abz-2 (Badr)"/>
          <w:color w:val="0070C0"/>
          <w:sz w:val="28"/>
          <w:szCs w:val="28"/>
          <w:rtl/>
          <w:lang w:bidi="ar"/>
        </w:rPr>
        <w:t xml:space="preserve"> وهذا يدلّ‌ على نقصان تصرّفهما</w:t>
      </w:r>
      <w:r w:rsidRPr="00C00DB6">
        <w:rPr>
          <w:rFonts w:cs="Abz-2 (Badr)" w:hint="cs"/>
          <w:color w:val="0070C0"/>
          <w:sz w:val="28"/>
          <w:szCs w:val="28"/>
          <w:rtl/>
          <w:lang w:bidi="ar"/>
        </w:rPr>
        <w:t>،</w:t>
      </w:r>
      <w:r w:rsidRPr="00C00DB6">
        <w:rPr>
          <w:rFonts w:cs="Abz-2 (Badr)"/>
          <w:color w:val="0070C0"/>
          <w:sz w:val="28"/>
          <w:szCs w:val="28"/>
          <w:rtl/>
          <w:lang w:bidi="ar"/>
        </w:rPr>
        <w:t xml:space="preserve"> فلذلك سمّيا حكمين</w:t>
      </w:r>
      <w:r w:rsidRPr="00C00DB6">
        <w:rPr>
          <w:rFonts w:cs="Abz-2 (Badr)" w:hint="cs"/>
          <w:color w:val="0070C0"/>
          <w:sz w:val="28"/>
          <w:szCs w:val="28"/>
          <w:rtl/>
          <w:lang w:bidi="ar"/>
        </w:rPr>
        <w:t>.</w:t>
      </w:r>
      <w:r w:rsidRPr="00C00DB6">
        <w:rPr>
          <w:rFonts w:cs="Abz-2 (Badr)"/>
          <w:color w:val="0070C0"/>
          <w:sz w:val="28"/>
          <w:szCs w:val="28"/>
          <w:rtl/>
          <w:lang w:bidi="ar"/>
        </w:rPr>
        <w:t xml:space="preserve"> والعرب تسمّي الرجل حكماً إذا تنافر إليه الرجلان ففضّل أحدهما على صاحبه</w:t>
      </w:r>
      <w:r w:rsidRPr="00C00DB6">
        <w:rPr>
          <w:rFonts w:cs="Abz-2 (Badr)" w:hint="cs"/>
          <w:color w:val="0070C0"/>
          <w:sz w:val="28"/>
          <w:szCs w:val="28"/>
          <w:rtl/>
          <w:lang w:bidi="ar"/>
        </w:rPr>
        <w:t>،</w:t>
      </w:r>
      <w:r w:rsidRPr="00C00DB6">
        <w:rPr>
          <w:rFonts w:cs="Abz-2 (Badr)"/>
          <w:color w:val="0070C0"/>
          <w:sz w:val="28"/>
          <w:szCs w:val="28"/>
          <w:rtl/>
          <w:lang w:bidi="ar"/>
        </w:rPr>
        <w:t xml:space="preserve"> وإنّما سمّي حكماً لأنّه ليس يتجاوز أن يعلّمهما أنّ‌ أحدهما أفضل من الآخر وليس هناك إلزام أمر ولا إمضاء حكم كما يفعل الحكّام، فلذلك لم يسمّ‌ حاكماً وهذا واضح بحمد الله.»</w:t>
      </w:r>
      <w:r w:rsidRPr="00C00DB6">
        <w:rPr>
          <w:rFonts w:cs="Abz-2 (Badr)"/>
          <w:sz w:val="28"/>
          <w:szCs w:val="28"/>
          <w:vertAlign w:val="superscript"/>
          <w:rtl/>
          <w:lang w:bidi="ar"/>
        </w:rPr>
        <w:footnoteReference w:id="2"/>
      </w:r>
    </w:p>
    <w:p w14:paraId="1E0E0256" w14:textId="77777777" w:rsidR="00851175" w:rsidRDefault="00851175" w:rsidP="00851175">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ولی فرمايش ايشان با معنايی که اهل لغت از «حَکَم» کرده</w:t>
      </w:r>
      <w:r>
        <w:rPr>
          <w:rFonts w:cs="Abz-2 (Badr)"/>
          <w:sz w:val="28"/>
          <w:szCs w:val="28"/>
          <w:rtl/>
          <w:lang w:bidi="fa-IR"/>
        </w:rPr>
        <w:softHyphen/>
      </w:r>
      <w:r>
        <w:rPr>
          <w:rFonts w:cs="Abz-2 (Badr)" w:hint="cs"/>
          <w:sz w:val="28"/>
          <w:szCs w:val="28"/>
          <w:rtl/>
          <w:lang w:bidi="fa-IR"/>
        </w:rPr>
        <w:t>اند، سازگار نيست.</w:t>
      </w:r>
    </w:p>
    <w:p w14:paraId="1A7C6DDE" w14:textId="424B5178" w:rsidR="00851175" w:rsidRPr="00BE6161" w:rsidRDefault="00851175" w:rsidP="00851175">
      <w:pPr>
        <w:pStyle w:val="NormalWeb"/>
        <w:widowControl w:val="0"/>
        <w:bidi/>
        <w:spacing w:before="0" w:beforeAutospacing="0" w:after="0" w:afterAutospacing="0" w:line="259" w:lineRule="auto"/>
        <w:ind w:firstLine="284"/>
        <w:jc w:val="both"/>
        <w:rPr>
          <w:rFonts w:cs="Abz-2 (Badr)"/>
          <w:color w:val="0070C0"/>
          <w:sz w:val="28"/>
          <w:szCs w:val="28"/>
          <w:rtl/>
          <w:lang w:bidi="fa-IR"/>
        </w:rPr>
      </w:pPr>
      <w:r>
        <w:rPr>
          <w:rFonts w:cs="Abz-2 (Badr)" w:hint="cs"/>
          <w:sz w:val="28"/>
          <w:szCs w:val="28"/>
          <w:rtl/>
          <w:lang w:bidi="fa-IR"/>
        </w:rPr>
        <w:t xml:space="preserve">در لسان العرب آمده است: </w:t>
      </w:r>
      <w:r w:rsidRPr="00BE6161">
        <w:rPr>
          <w:rFonts w:cs="Abz-2 (Badr)" w:hint="cs"/>
          <w:color w:val="0070C0"/>
          <w:sz w:val="28"/>
          <w:szCs w:val="28"/>
          <w:rtl/>
          <w:lang w:bidi="fa-IR"/>
        </w:rPr>
        <w:t>«</w:t>
      </w:r>
      <w:r w:rsidRPr="00BE6161">
        <w:rPr>
          <w:rFonts w:cs="Abz-2 (Badr)"/>
          <w:color w:val="0070C0"/>
          <w:sz w:val="28"/>
          <w:szCs w:val="28"/>
          <w:rtl/>
          <w:lang w:bidi="fa-IR"/>
        </w:rPr>
        <w:t>الحاكم</w:t>
      </w:r>
      <w:r w:rsidRPr="00BE6161">
        <w:rPr>
          <w:rFonts w:cs="Abz-2 (Badr)" w:hint="cs"/>
          <w:color w:val="0070C0"/>
          <w:sz w:val="28"/>
          <w:szCs w:val="28"/>
          <w:rtl/>
          <w:lang w:bidi="fa-IR"/>
        </w:rPr>
        <w:t xml:space="preserve">: </w:t>
      </w:r>
      <w:r w:rsidRPr="00BE6161">
        <w:rPr>
          <w:rFonts w:cs="Abz-2 (Badr)"/>
          <w:color w:val="0070C0"/>
          <w:sz w:val="28"/>
          <w:szCs w:val="28"/>
          <w:rtl/>
          <w:lang w:bidi="fa-IR"/>
        </w:rPr>
        <w:t>منفّذ الحُكم، والجمع حكّام، وهو الحَكَم</w:t>
      </w:r>
      <w:r w:rsidRPr="00BE6161">
        <w:rPr>
          <w:rFonts w:cs="Abz-2 (Badr)" w:hint="cs"/>
          <w:color w:val="0070C0"/>
          <w:sz w:val="28"/>
          <w:szCs w:val="28"/>
          <w:rtl/>
          <w:lang w:bidi="fa-IR"/>
        </w:rPr>
        <w:t>.»</w:t>
      </w:r>
      <w:bookmarkStart w:id="3" w:name="_Hlk184461095"/>
      <w:r w:rsidR="00E95CA7" w:rsidRPr="00C00DB6">
        <w:rPr>
          <w:rFonts w:cs="Abz-2 (Badr)"/>
          <w:sz w:val="28"/>
          <w:szCs w:val="28"/>
          <w:vertAlign w:val="superscript"/>
          <w:rtl/>
          <w:lang w:bidi="ar"/>
        </w:rPr>
        <w:footnoteReference w:id="3"/>
      </w:r>
      <w:bookmarkEnd w:id="3"/>
    </w:p>
    <w:p w14:paraId="328FA235" w14:textId="77777777" w:rsidR="00851175" w:rsidRDefault="00851175" w:rsidP="00851175">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اين که در عرف يک منطقه در زمانی خاص «حَکَم» و «حاکم» در دو معنا استعمال شوند، دلالت بر وضع لغوی آن ندارد.</w:t>
      </w:r>
    </w:p>
    <w:p w14:paraId="4B4EACCF" w14:textId="77777777" w:rsidR="00851175" w:rsidRDefault="00851175" w:rsidP="00851175">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بله، از منظر اصطلاح فقهی بين حَکَم و حاکم فرق است و آن اين که حاکم کسی است که برای حُکم کردن، نيازمند اذن و رضايت طرفين نزاع نيست و نفوذ حُکم او به جهت ولايتی است که شارع به او اعطاء کرده است، اما نفوذ حُکم حَکَم نيازمند اذن و رضايت طرفين نزاع است.</w:t>
      </w:r>
    </w:p>
    <w:p w14:paraId="4C243EC3" w14:textId="726DF400" w:rsidR="00E95CA7" w:rsidRPr="00E95CA7" w:rsidRDefault="00851175" w:rsidP="00EA2CC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بنابر اين می</w:t>
      </w:r>
      <w:r>
        <w:rPr>
          <w:rFonts w:cs="Abz-2 (Badr)"/>
          <w:sz w:val="28"/>
          <w:szCs w:val="28"/>
          <w:rtl/>
          <w:lang w:bidi="fa-IR"/>
        </w:rPr>
        <w:softHyphen/>
      </w:r>
      <w:r>
        <w:rPr>
          <w:rFonts w:cs="Abz-2 (Badr)" w:hint="cs"/>
          <w:sz w:val="28"/>
          <w:szCs w:val="28"/>
          <w:rtl/>
          <w:lang w:bidi="fa-IR"/>
        </w:rPr>
        <w:t>توان وجه اين که در آيه شريفه به جای حاکم لفظ حَکَم آمده است را اين دانست که حاکم نيازمند بعث نيست، بلکه از جانب شارع بعث او برای حل نزاع بين مردم صورت گرفته است، در حالی که حَکَم مادامی که مبعوث نشده و اذن به حکميّت او داده نشود، حُکم او نافذ نخواهد بود.</w:t>
      </w:r>
      <w:bookmarkStart w:id="4" w:name="_Hlk184461083"/>
    </w:p>
    <w:bookmarkEnd w:id="1"/>
    <w:bookmarkEnd w:id="4"/>
    <w:p w14:paraId="53ABB4D9" w14:textId="77777777" w:rsidR="00E95CA7" w:rsidRPr="00111ABB" w:rsidRDefault="00E95CA7" w:rsidP="00E95CA7">
      <w:pPr>
        <w:pStyle w:val="NormalWeb"/>
        <w:widowControl w:val="0"/>
        <w:bidi/>
        <w:spacing w:before="0" w:beforeAutospacing="0" w:after="0" w:afterAutospacing="0" w:line="254" w:lineRule="auto"/>
        <w:ind w:firstLine="284"/>
        <w:jc w:val="both"/>
        <w:rPr>
          <w:rFonts w:cs="Abz-2 (Badr)"/>
          <w:sz w:val="28"/>
          <w:szCs w:val="28"/>
          <w:rtl/>
          <w:lang w:bidi="fa-IR"/>
        </w:rPr>
      </w:pPr>
    </w:p>
    <w:sectPr w:rsidR="00E95CA7" w:rsidRPr="00111ABB" w:rsidSect="00D26FC6">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5B69A" w14:textId="77777777" w:rsidR="005B691F" w:rsidRDefault="005B691F" w:rsidP="00F71127">
      <w:pPr>
        <w:spacing w:after="0" w:line="240" w:lineRule="auto"/>
      </w:pPr>
      <w:r>
        <w:separator/>
      </w:r>
    </w:p>
  </w:endnote>
  <w:endnote w:type="continuationSeparator" w:id="0">
    <w:p w14:paraId="1643714D" w14:textId="77777777" w:rsidR="005B691F" w:rsidRDefault="005B691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1AD8" w14:textId="77777777" w:rsidR="00D26FC6" w:rsidRDefault="00D26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290C" w14:textId="77777777" w:rsidR="00D26FC6" w:rsidRDefault="00D26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91EF" w14:textId="77777777" w:rsidR="005B691F" w:rsidRDefault="005B691F" w:rsidP="00EE25C0">
      <w:pPr>
        <w:bidi/>
        <w:spacing w:after="0" w:line="240" w:lineRule="auto"/>
      </w:pPr>
      <w:r>
        <w:separator/>
      </w:r>
    </w:p>
  </w:footnote>
  <w:footnote w:type="continuationSeparator" w:id="0">
    <w:p w14:paraId="7E77C21A" w14:textId="77777777" w:rsidR="005B691F" w:rsidRDefault="005B691F" w:rsidP="00F71127">
      <w:pPr>
        <w:bidi/>
        <w:spacing w:after="0" w:line="240" w:lineRule="auto"/>
      </w:pPr>
      <w:r>
        <w:continuationSeparator/>
      </w:r>
    </w:p>
  </w:footnote>
  <w:footnote w:id="1">
    <w:p w14:paraId="09B37F76" w14:textId="77777777" w:rsidR="00851175" w:rsidRPr="009F6447" w:rsidRDefault="00851175" w:rsidP="00851175">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فقه القضاء،ج1،ص127.</w:t>
      </w:r>
    </w:p>
  </w:footnote>
  <w:footnote w:id="2">
    <w:p w14:paraId="462D79F4" w14:textId="77777777" w:rsidR="00851175" w:rsidRDefault="00851175" w:rsidP="00851175">
      <w:pPr>
        <w:pStyle w:val="FootnoteText"/>
        <w:bidi/>
        <w:rPr>
          <w:rtl/>
        </w:rPr>
      </w:pPr>
      <w:r w:rsidRPr="00C00DB6">
        <w:rPr>
          <w:rFonts w:cs="Abz-2 (Badr)"/>
          <w:lang w:bidi="fa-IR"/>
        </w:rPr>
        <w:footnoteRef/>
      </w:r>
      <w:r>
        <w:rPr>
          <w:rFonts w:cs="Abz-2 (Badr)" w:hint="cs"/>
          <w:rtl/>
          <w:lang w:bidi="fa-IR"/>
        </w:rPr>
        <w:t xml:space="preserve"> ـ </w:t>
      </w:r>
      <w:r w:rsidRPr="00C00DB6">
        <w:rPr>
          <w:rFonts w:cs="Abz-2 (Badr)"/>
          <w:rtl/>
          <w:lang w:bidi="fa-IR"/>
        </w:rPr>
        <w:t>حقائق التأويل في متشابه التنزيل،ص٣٢٢.</w:t>
      </w:r>
    </w:p>
  </w:footnote>
  <w:footnote w:id="3">
    <w:p w14:paraId="2A4EE9A1" w14:textId="4F71D892" w:rsidR="00E95CA7" w:rsidRDefault="00E95CA7" w:rsidP="00E95CA7">
      <w:pPr>
        <w:pStyle w:val="FootnoteText"/>
        <w:bidi/>
        <w:rPr>
          <w:rtl/>
        </w:rPr>
      </w:pPr>
      <w:r w:rsidRPr="00C00DB6">
        <w:rPr>
          <w:rFonts w:cs="Abz-2 (Badr)"/>
          <w:lang w:bidi="fa-IR"/>
        </w:rPr>
        <w:footnoteRef/>
      </w:r>
      <w:r>
        <w:rPr>
          <w:rFonts w:cs="Abz-2 (Badr)" w:hint="cs"/>
          <w:rtl/>
          <w:lang w:bidi="fa-IR"/>
        </w:rPr>
        <w:t xml:space="preserve"> ـ لسان العرب</w:t>
      </w:r>
      <w:r w:rsidRPr="00C00DB6">
        <w:rPr>
          <w:rFonts w:cs="Abz-2 (Badr)"/>
          <w:rtl/>
          <w:lang w:bidi="fa-IR"/>
        </w:rPr>
        <w:t>،</w:t>
      </w:r>
      <w:r>
        <w:rPr>
          <w:rFonts w:cs="Abz-2 (Badr)" w:hint="cs"/>
          <w:rtl/>
          <w:lang w:bidi="fa-IR"/>
        </w:rPr>
        <w:t>ج12،</w:t>
      </w:r>
      <w:r w:rsidRPr="00C00DB6">
        <w:rPr>
          <w:rFonts w:cs="Abz-2 (Badr)"/>
          <w:rtl/>
          <w:lang w:bidi="fa-IR"/>
        </w:rPr>
        <w:t>ص</w:t>
      </w:r>
      <w:r>
        <w:rPr>
          <w:rFonts w:cs="Abz-2 (Badr)" w:hint="cs"/>
          <w:rtl/>
          <w:lang w:bidi="fa-IR"/>
        </w:rPr>
        <w:t>142</w:t>
      </w:r>
      <w:r w:rsidRPr="00C00DB6">
        <w:rPr>
          <w:rFonts w:cs="Abz-2 (Badr)"/>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072A" w14:textId="77777777" w:rsidR="00D26FC6" w:rsidRDefault="00D26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059A" w14:textId="559E88AA" w:rsidR="00D26FC6" w:rsidRDefault="00D26FC6">
    <w:pPr>
      <w:pStyle w:val="Header"/>
    </w:pPr>
    <w:r>
      <w:rPr>
        <w:noProof/>
      </w:rPr>
      <mc:AlternateContent>
        <mc:Choice Requires="wps">
          <w:drawing>
            <wp:anchor distT="45720" distB="45720" distL="114300" distR="114300" simplePos="0" relativeHeight="251661312" behindDoc="0" locked="0" layoutInCell="1" allowOverlap="1" wp14:anchorId="3DEDCBEF" wp14:editId="58B177F7">
              <wp:simplePos x="0" y="0"/>
              <wp:positionH relativeFrom="column">
                <wp:posOffset>1789430</wp:posOffset>
              </wp:positionH>
              <wp:positionV relativeFrom="paragraph">
                <wp:posOffset>182880</wp:posOffset>
              </wp:positionV>
              <wp:extent cx="3924300" cy="1501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501140"/>
                      </a:xfrm>
                      <a:prstGeom prst="rect">
                        <a:avLst/>
                      </a:prstGeom>
                      <a:solidFill>
                        <a:srgbClr val="FFFFFF"/>
                      </a:solidFill>
                      <a:ln w="9525">
                        <a:noFill/>
                        <a:miter lim="800000"/>
                        <a:headEnd/>
                        <a:tailEnd/>
                      </a:ln>
                    </wps:spPr>
                    <wps:txbx>
                      <w:txbxContent>
                        <w:p w14:paraId="7B4EDF2E" w14:textId="70FD6C46" w:rsidR="00D26FC6" w:rsidRDefault="00D26FC6" w:rsidP="00D26FC6">
                          <w:pPr>
                            <w:bidi/>
                            <w:rPr>
                              <w:rFonts w:cs="B Mehr"/>
                            </w:rPr>
                          </w:pPr>
                          <w:r>
                            <w:rPr>
                              <w:rFonts w:cs="B Mehr" w:hint="cs"/>
                              <w:rtl/>
                            </w:rPr>
                            <w:t>تقریر درس خارج فقه،  استاد حاج سید علی موسوی اردبیلی</w:t>
                          </w:r>
                          <w:r>
                            <w:rPr>
                              <w:rFonts w:cs="B Mehr" w:hint="cs"/>
                            </w:rPr>
                            <w:t xml:space="preserve"> </w:t>
                          </w:r>
                        </w:p>
                        <w:p w14:paraId="1BD4E751" w14:textId="77777777" w:rsidR="00D26FC6" w:rsidRDefault="00D26FC6" w:rsidP="00D26FC6">
                          <w:pPr>
                            <w:jc w:val="right"/>
                            <w:rPr>
                              <w:rFonts w:cs="B Mehr"/>
                            </w:rPr>
                          </w:pPr>
                          <w:r>
                            <w:rPr>
                              <w:rFonts w:cs="B Mehr" w:hint="cs"/>
                              <w:rtl/>
                            </w:rPr>
                            <w:t xml:space="preserve">مبحث: قسم ، نشوز ، شقاق/   </w:t>
                          </w:r>
                        </w:p>
                        <w:p w14:paraId="51BACECA" w14:textId="790E6E67" w:rsidR="00D26FC6" w:rsidRDefault="00D26FC6" w:rsidP="00D26FC6">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18</w:t>
                          </w:r>
                          <w:r>
                            <w:rPr>
                              <w:rFonts w:cs="B Mehr" w:hint="cs"/>
                              <w:rtl/>
                            </w:rPr>
                            <w:t xml:space="preserve">      آذر  ماه - 1403ه.ش</w:t>
                          </w:r>
                        </w:p>
                        <w:p w14:paraId="069BF659" w14:textId="77777777" w:rsidR="00D26FC6" w:rsidRDefault="00D26FC6" w:rsidP="00D26FC6"/>
                        <w:p w14:paraId="28467B71" w14:textId="77777777" w:rsidR="00D26FC6" w:rsidRDefault="00D26FC6" w:rsidP="00D26FC6"/>
                        <w:p w14:paraId="32FA5FFD" w14:textId="77777777" w:rsidR="00D26FC6" w:rsidRDefault="00D26FC6" w:rsidP="00D26FC6"/>
                        <w:p w14:paraId="4A4140C1" w14:textId="77777777" w:rsidR="00D26FC6" w:rsidRDefault="00D26FC6" w:rsidP="00D26FC6"/>
                        <w:p w14:paraId="445E0FC5" w14:textId="77777777" w:rsidR="00D26FC6" w:rsidRDefault="00D26FC6" w:rsidP="00D26FC6"/>
                        <w:p w14:paraId="678FC25E" w14:textId="77777777" w:rsidR="00D26FC6" w:rsidRDefault="00D26FC6" w:rsidP="00D26FC6"/>
                        <w:p w14:paraId="11208D22" w14:textId="77777777" w:rsidR="00D26FC6" w:rsidRDefault="00D26FC6" w:rsidP="00D26FC6"/>
                        <w:p w14:paraId="28D303EE" w14:textId="77777777" w:rsidR="00D26FC6" w:rsidRDefault="00D26FC6" w:rsidP="00D26FC6"/>
                        <w:p w14:paraId="424A8C3D" w14:textId="77777777" w:rsidR="00D26FC6" w:rsidRDefault="00D26FC6" w:rsidP="00D26FC6"/>
                        <w:p w14:paraId="40F2E4A4" w14:textId="77777777" w:rsidR="00D26FC6" w:rsidRDefault="00D26FC6" w:rsidP="00D26FC6"/>
                        <w:p w14:paraId="413A314F" w14:textId="77777777" w:rsidR="00D26FC6" w:rsidRDefault="00D26FC6" w:rsidP="00D26FC6"/>
                        <w:p w14:paraId="70827358" w14:textId="77777777" w:rsidR="00D26FC6" w:rsidRDefault="00D26FC6" w:rsidP="00D26FC6"/>
                        <w:p w14:paraId="578FFA64" w14:textId="77777777" w:rsidR="00D26FC6" w:rsidRDefault="00D26FC6" w:rsidP="00D26FC6"/>
                        <w:p w14:paraId="4985BF3F" w14:textId="77777777" w:rsidR="00D26FC6" w:rsidRDefault="00D26FC6" w:rsidP="00D26FC6"/>
                        <w:p w14:paraId="2B06A376" w14:textId="77777777" w:rsidR="00D26FC6" w:rsidRDefault="00D26FC6" w:rsidP="00D26FC6"/>
                        <w:p w14:paraId="3C2757C0" w14:textId="30315E5A" w:rsidR="00D26FC6" w:rsidRDefault="00D26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DCBEF" id="_x0000_t202" coordsize="21600,21600" o:spt="202" path="m,l,21600r21600,l21600,xe">
              <v:stroke joinstyle="miter"/>
              <v:path gradientshapeok="t" o:connecttype="rect"/>
            </v:shapetype>
            <v:shape id="Text Box 2" o:spid="_x0000_s1026" type="#_x0000_t202" style="position:absolute;margin-left:140.9pt;margin-top:14.4pt;width:309pt;height:11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" stroked="f">
              <v:textbox>
                <w:txbxContent>
                  <w:p w14:paraId="7B4EDF2E" w14:textId="70FD6C46" w:rsidR="00D26FC6" w:rsidRDefault="00D26FC6" w:rsidP="00D26FC6">
                    <w:pPr>
                      <w:bidi/>
                      <w:rPr>
                        <w:rFonts w:cs="B Mehr"/>
                      </w:rPr>
                    </w:pPr>
                    <w:r>
                      <w:rPr>
                        <w:rFonts w:cs="B Mehr" w:hint="cs"/>
                        <w:rtl/>
                      </w:rPr>
                      <w:t>تقریر درس خارج فقه،  استاد حاج سید علی موسوی اردبیلی</w:t>
                    </w:r>
                    <w:r>
                      <w:rPr>
                        <w:rFonts w:cs="B Mehr" w:hint="cs"/>
                      </w:rPr>
                      <w:t xml:space="preserve"> </w:t>
                    </w:r>
                  </w:p>
                  <w:p w14:paraId="1BD4E751" w14:textId="77777777" w:rsidR="00D26FC6" w:rsidRDefault="00D26FC6" w:rsidP="00D26FC6">
                    <w:pPr>
                      <w:jc w:val="right"/>
                      <w:rPr>
                        <w:rFonts w:cs="B Mehr"/>
                      </w:rPr>
                    </w:pPr>
                    <w:r>
                      <w:rPr>
                        <w:rFonts w:cs="B Mehr" w:hint="cs"/>
                        <w:rtl/>
                      </w:rPr>
                      <w:t xml:space="preserve">مبحث: قسم ، نشوز ، شقاق/   </w:t>
                    </w:r>
                  </w:p>
                  <w:p w14:paraId="51BACECA" w14:textId="790E6E67" w:rsidR="00D26FC6" w:rsidRDefault="00D26FC6" w:rsidP="00D26FC6">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18</w:t>
                    </w:r>
                    <w:r>
                      <w:rPr>
                        <w:rFonts w:cs="B Mehr" w:hint="cs"/>
                        <w:rtl/>
                      </w:rPr>
                      <w:t xml:space="preserve">      آذر  ماه - 1403ه.ش</w:t>
                    </w:r>
                  </w:p>
                  <w:p w14:paraId="069BF659" w14:textId="77777777" w:rsidR="00D26FC6" w:rsidRDefault="00D26FC6" w:rsidP="00D26FC6"/>
                  <w:p w14:paraId="28467B71" w14:textId="77777777" w:rsidR="00D26FC6" w:rsidRDefault="00D26FC6" w:rsidP="00D26FC6"/>
                  <w:p w14:paraId="32FA5FFD" w14:textId="77777777" w:rsidR="00D26FC6" w:rsidRDefault="00D26FC6" w:rsidP="00D26FC6"/>
                  <w:p w14:paraId="4A4140C1" w14:textId="77777777" w:rsidR="00D26FC6" w:rsidRDefault="00D26FC6" w:rsidP="00D26FC6"/>
                  <w:p w14:paraId="445E0FC5" w14:textId="77777777" w:rsidR="00D26FC6" w:rsidRDefault="00D26FC6" w:rsidP="00D26FC6"/>
                  <w:p w14:paraId="678FC25E" w14:textId="77777777" w:rsidR="00D26FC6" w:rsidRDefault="00D26FC6" w:rsidP="00D26FC6"/>
                  <w:p w14:paraId="11208D22" w14:textId="77777777" w:rsidR="00D26FC6" w:rsidRDefault="00D26FC6" w:rsidP="00D26FC6"/>
                  <w:p w14:paraId="28D303EE" w14:textId="77777777" w:rsidR="00D26FC6" w:rsidRDefault="00D26FC6" w:rsidP="00D26FC6"/>
                  <w:p w14:paraId="424A8C3D" w14:textId="77777777" w:rsidR="00D26FC6" w:rsidRDefault="00D26FC6" w:rsidP="00D26FC6"/>
                  <w:p w14:paraId="40F2E4A4" w14:textId="77777777" w:rsidR="00D26FC6" w:rsidRDefault="00D26FC6" w:rsidP="00D26FC6"/>
                  <w:p w14:paraId="413A314F" w14:textId="77777777" w:rsidR="00D26FC6" w:rsidRDefault="00D26FC6" w:rsidP="00D26FC6"/>
                  <w:p w14:paraId="70827358" w14:textId="77777777" w:rsidR="00D26FC6" w:rsidRDefault="00D26FC6" w:rsidP="00D26FC6"/>
                  <w:p w14:paraId="578FFA64" w14:textId="77777777" w:rsidR="00D26FC6" w:rsidRDefault="00D26FC6" w:rsidP="00D26FC6"/>
                  <w:p w14:paraId="4985BF3F" w14:textId="77777777" w:rsidR="00D26FC6" w:rsidRDefault="00D26FC6" w:rsidP="00D26FC6"/>
                  <w:p w14:paraId="2B06A376" w14:textId="77777777" w:rsidR="00D26FC6" w:rsidRDefault="00D26FC6" w:rsidP="00D26FC6"/>
                  <w:p w14:paraId="3C2757C0" w14:textId="30315E5A" w:rsidR="00D26FC6" w:rsidRDefault="00D26FC6"/>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0857978" wp14:editId="5B91D346">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E2D1" w14:textId="77777777" w:rsidR="00D26FC6" w:rsidRDefault="00D26F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305"/>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B0D"/>
    <w:rsid w:val="002C1466"/>
    <w:rsid w:val="002C1CB3"/>
    <w:rsid w:val="002C1DD0"/>
    <w:rsid w:val="002C271B"/>
    <w:rsid w:val="002C33B4"/>
    <w:rsid w:val="002C4C8D"/>
    <w:rsid w:val="002C5042"/>
    <w:rsid w:val="002C5DEA"/>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8D8"/>
    <w:rsid w:val="00397F0E"/>
    <w:rsid w:val="00397F77"/>
    <w:rsid w:val="003A0C76"/>
    <w:rsid w:val="003A11DA"/>
    <w:rsid w:val="003A1222"/>
    <w:rsid w:val="003A1889"/>
    <w:rsid w:val="003A199D"/>
    <w:rsid w:val="003A1C67"/>
    <w:rsid w:val="003A2255"/>
    <w:rsid w:val="003A27A6"/>
    <w:rsid w:val="003A2EBD"/>
    <w:rsid w:val="003A3285"/>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C29"/>
    <w:rsid w:val="004023DB"/>
    <w:rsid w:val="00403DBF"/>
    <w:rsid w:val="00403F11"/>
    <w:rsid w:val="00404302"/>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691F"/>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482"/>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7630"/>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FAB"/>
    <w:rsid w:val="009B5300"/>
    <w:rsid w:val="009B6316"/>
    <w:rsid w:val="009B64BB"/>
    <w:rsid w:val="009B6615"/>
    <w:rsid w:val="009B7814"/>
    <w:rsid w:val="009C1C9D"/>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2272"/>
    <w:rsid w:val="00BB2547"/>
    <w:rsid w:val="00BB28B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31FA"/>
    <w:rsid w:val="00C8378C"/>
    <w:rsid w:val="00C83C44"/>
    <w:rsid w:val="00C85FC3"/>
    <w:rsid w:val="00C8637E"/>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E9D"/>
    <w:rsid w:val="00CE187B"/>
    <w:rsid w:val="00CE1EB7"/>
    <w:rsid w:val="00CE42CE"/>
    <w:rsid w:val="00CE4681"/>
    <w:rsid w:val="00CE69C1"/>
    <w:rsid w:val="00CE6EC7"/>
    <w:rsid w:val="00CE72CE"/>
    <w:rsid w:val="00CE7E44"/>
    <w:rsid w:val="00CE7E74"/>
    <w:rsid w:val="00CE7F5A"/>
    <w:rsid w:val="00CF0A66"/>
    <w:rsid w:val="00CF22C8"/>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26FC6"/>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10B12"/>
    <w:rsid w:val="00E11355"/>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16891</TotalTime>
  <Pages>3</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211</cp:revision>
  <cp:lastPrinted>2024-12-07T07:21:00Z</cp:lastPrinted>
  <dcterms:created xsi:type="dcterms:W3CDTF">2022-10-16T08:36:00Z</dcterms:created>
  <dcterms:modified xsi:type="dcterms:W3CDTF">2024-12-08T08:35:00Z</dcterms:modified>
</cp:coreProperties>
</file>